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E35D15" w14:textId="77777777" w:rsidR="00DC07EB" w:rsidRDefault="00367EE0">
      <w:pPr>
        <w:rPr>
          <w:rFonts w:ascii="Arial" w:hAnsi="Arial"/>
        </w:rPr>
      </w:pPr>
      <w:r>
        <w:rPr>
          <w:rStyle w:val="Naglaeno"/>
          <w:rFonts w:ascii="Arial" w:hAnsi="Arial"/>
        </w:rPr>
        <w:t>Opstipacija</w:t>
      </w:r>
    </w:p>
    <w:p w14:paraId="2B76A1CE" w14:textId="77777777" w:rsidR="00DC07EB" w:rsidRDefault="00367EE0">
      <w:pPr>
        <w:rPr>
          <w:rFonts w:ascii="Arial" w:hAnsi="Arial"/>
        </w:rPr>
      </w:pPr>
      <w:r>
        <w:rPr>
          <w:rStyle w:val="Naglaeno"/>
          <w:rFonts w:ascii="Arial" w:hAnsi="Arial"/>
        </w:rPr>
        <w:t>Opstipacija ili problem zatvora stolice se odražava rijetkim, neredovitim i nepotpunim pražnjenjem debelog crijeva.</w:t>
      </w:r>
    </w:p>
    <w:p w14:paraId="012A3800" w14:textId="77777777" w:rsidR="00DC07EB" w:rsidRDefault="00367EE0">
      <w:pPr>
        <w:pStyle w:val="StandardWeb"/>
        <w:rPr>
          <w:rFonts w:ascii="Arial" w:hAnsi="Arial"/>
        </w:rPr>
      </w:pPr>
      <w:r>
        <w:rPr>
          <w:rStyle w:val="Naglaeno"/>
          <w:rFonts w:ascii="Arial" w:hAnsi="Arial"/>
        </w:rPr>
        <w:t xml:space="preserve">Što je opstipacija? </w:t>
      </w:r>
      <w:r>
        <w:rPr>
          <w:rFonts w:ascii="Arial" w:hAnsi="Arial"/>
        </w:rPr>
        <w:br/>
      </w:r>
      <w:r>
        <w:rPr>
          <w:rFonts w:ascii="Arial" w:hAnsi="Arial"/>
        </w:rPr>
        <w:t>Opstipacija ili problem zatvora stolice se odražava rijetkim, neredovitim i nepotpunim pražnjenjem debelog crijeva. To je jedan od najčešćih gastrointestinalnih problema. Oko  30% ukupnog stanovništva ima problem zatvora stolice. Učestalija je kod žena i č</w:t>
      </w:r>
      <w:r>
        <w:rPr>
          <w:rFonts w:ascii="Arial" w:hAnsi="Arial"/>
        </w:rPr>
        <w:t xml:space="preserve">ešća kod osoba starije dobi. Takve osobe imaju tvrdu stolicu koja teško prolazi, a i osjećaj da se rektum nije u potpunosti ispraznio. </w:t>
      </w:r>
      <w:r>
        <w:rPr>
          <w:rFonts w:ascii="Arial" w:hAnsi="Arial"/>
        </w:rPr>
        <w:br/>
      </w:r>
      <w:r>
        <w:rPr>
          <w:rFonts w:ascii="Arial" w:hAnsi="Arial"/>
        </w:rPr>
        <w:br/>
        <w:t>Postoji akutni i kronični zatvor. Ovaj potonji može trajati mjesecima i godinama. Zatvor može za posljedicu imati obolj</w:t>
      </w:r>
      <w:r>
        <w:rPr>
          <w:rFonts w:ascii="Arial" w:hAnsi="Arial"/>
        </w:rPr>
        <w:t xml:space="preserve">enja debelog crijeva uslijed koncentriranja toksina iz </w:t>
      </w:r>
      <w:proofErr w:type="spellStart"/>
      <w:r>
        <w:rPr>
          <w:rFonts w:ascii="Arial" w:hAnsi="Arial"/>
        </w:rPr>
        <w:t>fecesa</w:t>
      </w:r>
      <w:proofErr w:type="spellEnd"/>
      <w:r>
        <w:rPr>
          <w:rFonts w:ascii="Arial" w:hAnsi="Arial"/>
        </w:rPr>
        <w:t>.</w:t>
      </w:r>
    </w:p>
    <w:p w14:paraId="4BB31B83" w14:textId="77777777" w:rsidR="00DC07EB" w:rsidRDefault="00367EE0">
      <w:pPr>
        <w:pStyle w:val="StandardWeb"/>
        <w:rPr>
          <w:rFonts w:ascii="Arial" w:hAnsi="Arial"/>
        </w:rPr>
      </w:pPr>
      <w:r>
        <w:rPr>
          <w:rFonts w:ascii="Arial" w:hAnsi="Arial"/>
        </w:rPr>
        <w:t>Uzroci opstipacije:</w:t>
      </w:r>
    </w:p>
    <w:p w14:paraId="31333D52" w14:textId="77777777" w:rsidR="00DC07EB" w:rsidRDefault="00367EE0">
      <w:pPr>
        <w:numPr>
          <w:ilvl w:val="0"/>
          <w:numId w:val="1"/>
        </w:numPr>
        <w:spacing w:before="100" w:beforeAutospacing="1" w:after="100" w:afterAutospacing="1"/>
        <w:rPr>
          <w:rFonts w:ascii="Arial" w:hAnsi="Arial"/>
        </w:rPr>
      </w:pPr>
      <w:r>
        <w:rPr>
          <w:rFonts w:ascii="Arial" w:hAnsi="Arial"/>
        </w:rPr>
        <w:t xml:space="preserve">ignoriranje potrebe za pražnjenjem crijeva </w:t>
      </w:r>
    </w:p>
    <w:p w14:paraId="15C431BB" w14:textId="77777777" w:rsidR="00DC07EB" w:rsidRDefault="00367EE0">
      <w:pPr>
        <w:numPr>
          <w:ilvl w:val="0"/>
          <w:numId w:val="1"/>
        </w:numPr>
        <w:spacing w:before="100" w:beforeAutospacing="1" w:after="100" w:afterAutospacing="1"/>
        <w:rPr>
          <w:rFonts w:ascii="Arial" w:hAnsi="Arial"/>
        </w:rPr>
      </w:pPr>
      <w:r>
        <w:rPr>
          <w:rFonts w:ascii="Arial" w:hAnsi="Arial"/>
        </w:rPr>
        <w:t xml:space="preserve">nedovoljno uzimanje tekućine </w:t>
      </w:r>
    </w:p>
    <w:p w14:paraId="22B49C97" w14:textId="77777777" w:rsidR="00DC07EB" w:rsidRDefault="00367EE0">
      <w:pPr>
        <w:numPr>
          <w:ilvl w:val="0"/>
          <w:numId w:val="1"/>
        </w:numPr>
        <w:spacing w:before="100" w:beforeAutospacing="1" w:after="100" w:afterAutospacing="1"/>
        <w:rPr>
          <w:rFonts w:ascii="Arial" w:hAnsi="Arial"/>
        </w:rPr>
      </w:pPr>
      <w:r>
        <w:rPr>
          <w:rFonts w:ascii="Arial" w:hAnsi="Arial"/>
        </w:rPr>
        <w:t xml:space="preserve">preskakanje obroka i nedovoljno žvakanje hrane </w:t>
      </w:r>
    </w:p>
    <w:p w14:paraId="05E8158A" w14:textId="77777777" w:rsidR="00DC07EB" w:rsidRDefault="00367EE0">
      <w:pPr>
        <w:numPr>
          <w:ilvl w:val="0"/>
          <w:numId w:val="1"/>
        </w:numPr>
        <w:spacing w:before="100" w:beforeAutospacing="1" w:after="100" w:afterAutospacing="1"/>
        <w:rPr>
          <w:rFonts w:ascii="Arial" w:hAnsi="Arial"/>
        </w:rPr>
      </w:pPr>
      <w:r>
        <w:rPr>
          <w:rFonts w:ascii="Arial" w:hAnsi="Arial"/>
        </w:rPr>
        <w:t xml:space="preserve">prehrana bazirana na gotovoj hrani i </w:t>
      </w:r>
      <w:proofErr w:type="spellStart"/>
      <w:r>
        <w:rPr>
          <w:rFonts w:ascii="Arial" w:hAnsi="Arial"/>
        </w:rPr>
        <w:t>fast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food</w:t>
      </w:r>
      <w:proofErr w:type="spellEnd"/>
      <w:r>
        <w:rPr>
          <w:rFonts w:ascii="Arial" w:hAnsi="Arial"/>
        </w:rPr>
        <w:t xml:space="preserve"> hran</w:t>
      </w:r>
      <w:r>
        <w:rPr>
          <w:rFonts w:ascii="Arial" w:hAnsi="Arial"/>
        </w:rPr>
        <w:t xml:space="preserve">i </w:t>
      </w:r>
    </w:p>
    <w:p w14:paraId="338F09F4" w14:textId="77777777" w:rsidR="00DC07EB" w:rsidRDefault="00367EE0">
      <w:pPr>
        <w:numPr>
          <w:ilvl w:val="0"/>
          <w:numId w:val="1"/>
        </w:numPr>
        <w:spacing w:before="100" w:beforeAutospacing="1" w:after="100" w:afterAutospacing="1"/>
        <w:rPr>
          <w:rFonts w:ascii="Arial" w:hAnsi="Arial"/>
        </w:rPr>
      </w:pPr>
      <w:r>
        <w:rPr>
          <w:rFonts w:ascii="Arial" w:hAnsi="Arial"/>
        </w:rPr>
        <w:t xml:space="preserve">prehrana siromašna dijetetskim vlaknima </w:t>
      </w:r>
    </w:p>
    <w:p w14:paraId="117D9FAC" w14:textId="77777777" w:rsidR="00DC07EB" w:rsidRDefault="00367EE0">
      <w:pPr>
        <w:numPr>
          <w:ilvl w:val="0"/>
          <w:numId w:val="1"/>
        </w:numPr>
        <w:spacing w:before="100" w:beforeAutospacing="1" w:after="100" w:afterAutospacing="1"/>
        <w:rPr>
          <w:rFonts w:ascii="Arial" w:hAnsi="Arial"/>
        </w:rPr>
      </w:pPr>
      <w:r>
        <w:rPr>
          <w:rFonts w:ascii="Arial" w:hAnsi="Arial"/>
        </w:rPr>
        <w:t xml:space="preserve">nedostatak fizičke aktivnosti </w:t>
      </w:r>
    </w:p>
    <w:p w14:paraId="1B634EA5" w14:textId="77777777" w:rsidR="00DC07EB" w:rsidRDefault="00367EE0">
      <w:pPr>
        <w:numPr>
          <w:ilvl w:val="0"/>
          <w:numId w:val="1"/>
        </w:numPr>
        <w:spacing w:before="100" w:beforeAutospacing="1" w:after="100" w:afterAutospacing="1"/>
        <w:rPr>
          <w:rFonts w:ascii="Arial" w:hAnsi="Arial"/>
        </w:rPr>
      </w:pPr>
      <w:r>
        <w:rPr>
          <w:rFonts w:ascii="Arial" w:hAnsi="Arial"/>
        </w:rPr>
        <w:t xml:space="preserve">uzimanje određenih vrsta lijekova </w:t>
      </w:r>
    </w:p>
    <w:p w14:paraId="4BCCDC85" w14:textId="77777777" w:rsidR="00DC07EB" w:rsidRDefault="00367EE0">
      <w:pPr>
        <w:numPr>
          <w:ilvl w:val="0"/>
          <w:numId w:val="1"/>
        </w:numPr>
        <w:spacing w:before="100" w:beforeAutospacing="1" w:after="100" w:afterAutospacing="1"/>
        <w:rPr>
          <w:rFonts w:ascii="Arial" w:hAnsi="Arial"/>
        </w:rPr>
      </w:pPr>
      <w:r>
        <w:rPr>
          <w:rFonts w:ascii="Arial" w:hAnsi="Arial"/>
        </w:rPr>
        <w:t xml:space="preserve">oboljenja debelog crijeva i rektuma </w:t>
      </w:r>
    </w:p>
    <w:p w14:paraId="0D34A639" w14:textId="77777777" w:rsidR="00DC07EB" w:rsidRDefault="00367EE0">
      <w:pPr>
        <w:numPr>
          <w:ilvl w:val="0"/>
          <w:numId w:val="1"/>
        </w:numPr>
        <w:spacing w:before="100" w:beforeAutospacing="1" w:after="100" w:afterAutospacing="1"/>
        <w:rPr>
          <w:rFonts w:ascii="Arial" w:hAnsi="Arial"/>
        </w:rPr>
      </w:pPr>
      <w:r>
        <w:rPr>
          <w:rFonts w:ascii="Arial" w:hAnsi="Arial"/>
        </w:rPr>
        <w:t xml:space="preserve">jači stres </w:t>
      </w:r>
    </w:p>
    <w:p w14:paraId="37D98C42" w14:textId="77777777" w:rsidR="00DC07EB" w:rsidRDefault="00367EE0">
      <w:pPr>
        <w:numPr>
          <w:ilvl w:val="0"/>
          <w:numId w:val="1"/>
        </w:numPr>
        <w:spacing w:before="100" w:beforeAutospacing="1" w:after="100" w:afterAutospacing="1"/>
        <w:rPr>
          <w:rFonts w:ascii="Arial" w:hAnsi="Arial"/>
        </w:rPr>
      </w:pPr>
      <w:r>
        <w:rPr>
          <w:rFonts w:ascii="Arial" w:hAnsi="Arial"/>
        </w:rPr>
        <w:t>trudnoća - može biti uzrokom opstipacije kao posljedice hormonalnih promjena ili zbog pritiska po</w:t>
      </w:r>
      <w:r>
        <w:rPr>
          <w:rFonts w:ascii="Arial" w:hAnsi="Arial"/>
        </w:rPr>
        <w:t xml:space="preserve">većane maternice na crijeva </w:t>
      </w:r>
    </w:p>
    <w:p w14:paraId="2FE6989E" w14:textId="77777777" w:rsidR="00DC07EB" w:rsidRDefault="00367EE0">
      <w:pPr>
        <w:pStyle w:val="StandardWeb"/>
        <w:rPr>
          <w:rFonts w:ascii="Arial" w:hAnsi="Arial"/>
        </w:rPr>
      </w:pPr>
      <w:r>
        <w:rPr>
          <w:rFonts w:ascii="Arial" w:hAnsi="Arial"/>
        </w:rPr>
        <w:t>Za ljude sklone opstipaciji ograničavanje hrane koja ne sadrži ili sadrži malo vlakana, kao što je sladoled, sir, meso kao i obrađena hrana, je od velike važnosti. Hrana s visokim udjelom vlakana (grašak, žitarice, mekinje, svj</w:t>
      </w:r>
      <w:r>
        <w:rPr>
          <w:rFonts w:ascii="Arial" w:hAnsi="Arial"/>
        </w:rPr>
        <w:t>eže voće i povrće kao šparoge, prokulice, kupus, mrkva) pomaže formiranju meke, voluminozne stolice. Uzimanje dovoljne količine vode i drugih tekućina kao što su sokovi od voća i povrća, juhe kao i dnevno vježbanje također mogu pomoći liječenju i prevencij</w:t>
      </w:r>
      <w:r>
        <w:rPr>
          <w:rFonts w:ascii="Arial" w:hAnsi="Arial"/>
        </w:rPr>
        <w:t>i opstipacije.</w:t>
      </w:r>
    </w:p>
    <w:p w14:paraId="3C79BAAB" w14:textId="77777777" w:rsidR="00DC07EB" w:rsidRDefault="00367EE0">
      <w:pPr>
        <w:pStyle w:val="StandardWeb"/>
        <w:rPr>
          <w:rFonts w:ascii="Arial" w:hAnsi="Arial"/>
        </w:rPr>
      </w:pPr>
      <w:r>
        <w:rPr>
          <w:rFonts w:ascii="Arial" w:hAnsi="Arial"/>
        </w:rPr>
        <w:t xml:space="preserve">Ubrzani tempo života i stres dovode do razvijanja nezdravog načina života koji podrazumijeva svakodnevno preskakanje obroka i nedovoljno žvakanje </w:t>
      </w:r>
      <w:proofErr w:type="spellStart"/>
      <w:r>
        <w:rPr>
          <w:rFonts w:ascii="Arial" w:hAnsi="Arial"/>
        </w:rPr>
        <w:t>hrane,sve</w:t>
      </w:r>
      <w:proofErr w:type="spellEnd"/>
      <w:r>
        <w:rPr>
          <w:rFonts w:ascii="Arial" w:hAnsi="Arial"/>
        </w:rPr>
        <w:t xml:space="preserve"> češće prehranu baziranu na gotovoj i „</w:t>
      </w:r>
      <w:proofErr w:type="spellStart"/>
      <w:r>
        <w:rPr>
          <w:rFonts w:ascii="Arial" w:hAnsi="Arial"/>
        </w:rPr>
        <w:t>fast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food</w:t>
      </w:r>
      <w:proofErr w:type="spellEnd"/>
      <w:r>
        <w:rPr>
          <w:rFonts w:ascii="Arial" w:hAnsi="Arial"/>
        </w:rPr>
        <w:t>“ hrani, a siromašnu dijetetskim vlakn</w:t>
      </w:r>
      <w:r>
        <w:rPr>
          <w:rFonts w:ascii="Arial" w:hAnsi="Arial"/>
        </w:rPr>
        <w:t>ima. Nedostatak slobodnog vremena, poslovne i privatne obaveze vrlo često dovode do ignoriranja potrebe za pražnjenje crijeva što također dovodi do zatvora i u konačnici do oboljenja debelog crijeva.</w:t>
      </w:r>
    </w:p>
    <w:p w14:paraId="24FB00B9" w14:textId="77777777" w:rsidR="00DC07EB" w:rsidRDefault="00367EE0">
      <w:pPr>
        <w:pStyle w:val="StandardWeb"/>
        <w:rPr>
          <w:rFonts w:ascii="Arial" w:hAnsi="Arial"/>
        </w:rPr>
      </w:pPr>
      <w:r>
        <w:rPr>
          <w:rStyle w:val="Naglaeno"/>
          <w:rFonts w:ascii="Arial" w:hAnsi="Arial"/>
        </w:rPr>
        <w:t>Kako izbjeći opstipaciju?</w:t>
      </w:r>
      <w:r>
        <w:rPr>
          <w:rFonts w:ascii="Arial" w:hAnsi="Arial"/>
          <w:b/>
          <w:bCs/>
        </w:rPr>
        <w:br/>
      </w:r>
      <w:r>
        <w:rPr>
          <w:rFonts w:ascii="Arial" w:hAnsi="Arial"/>
        </w:rPr>
        <w:t>1. Nemojte potiskivati prirodn</w:t>
      </w:r>
      <w:r>
        <w:rPr>
          <w:rFonts w:ascii="Arial" w:hAnsi="Arial"/>
        </w:rPr>
        <w:t>i nagon za pražnjenjem crijeva. Čak i u stresnim situacijama ostavite  za to dovoljno vremena.</w:t>
      </w:r>
      <w:r>
        <w:rPr>
          <w:rFonts w:ascii="Arial" w:hAnsi="Arial"/>
        </w:rPr>
        <w:br/>
        <w:t>2. Za održavanje normalne tvrdoće stolice, dnevno trebate popiti barem 1,5 L tekućine. Što više tekućine pijete, to su bolji rezultati. Izbjegavajte zaslađene so</w:t>
      </w:r>
      <w:r>
        <w:rPr>
          <w:rFonts w:ascii="Arial" w:hAnsi="Arial"/>
        </w:rPr>
        <w:t>kove, najbolji izbor je voda.</w:t>
      </w:r>
      <w:r>
        <w:rPr>
          <w:rFonts w:ascii="Arial" w:hAnsi="Arial"/>
        </w:rPr>
        <w:br/>
        <w:t xml:space="preserve">3. Redovito uzimajte doručak: stimulirat ćete pokretljivost crijeva i na taj način </w:t>
      </w:r>
      <w:r>
        <w:rPr>
          <w:rFonts w:ascii="Arial" w:hAnsi="Arial"/>
        </w:rPr>
        <w:lastRenderedPageBreak/>
        <w:t>potaknuti prirodne impulse pražnjenja crijeva.</w:t>
      </w:r>
      <w:r>
        <w:rPr>
          <w:rFonts w:ascii="Arial" w:hAnsi="Arial"/>
        </w:rPr>
        <w:br/>
        <w:t>4. Uključite dovoljno vlaknaste hrane u svoju prehranu. Često je to dovoljno za normalizaciju va</w:t>
      </w:r>
      <w:r>
        <w:rPr>
          <w:rFonts w:ascii="Arial" w:hAnsi="Arial"/>
        </w:rPr>
        <w:t xml:space="preserve">še probave. </w:t>
      </w:r>
      <w:r>
        <w:rPr>
          <w:rFonts w:ascii="Arial" w:hAnsi="Arial"/>
        </w:rPr>
        <w:br/>
        <w:t xml:space="preserve">5. Uzimajte tvari koje bubre kao npr. grašak ili žitarice. </w:t>
      </w:r>
      <w:r>
        <w:rPr>
          <w:rFonts w:ascii="Arial" w:hAnsi="Arial"/>
        </w:rPr>
        <w:br/>
        <w:t xml:space="preserve">6. Pobrinite se da vaša prehrana bude ujednačena i raznovrsna, s pravilnim udjelom bjelančevina, ugljikohidrata i masti. </w:t>
      </w:r>
      <w:r>
        <w:rPr>
          <w:rFonts w:ascii="Arial" w:hAnsi="Arial"/>
        </w:rPr>
        <w:br/>
        <w:t>7. Ne zaboravite tjelesnu aktivnost. Brzo hodanje, gimnastici</w:t>
      </w:r>
      <w:r>
        <w:rPr>
          <w:rFonts w:ascii="Arial" w:hAnsi="Arial"/>
        </w:rPr>
        <w:t>ranje, vožnja bicikla ili plivanje pomoći će vam u održavanju normalne crijevne funkcije.</w:t>
      </w:r>
    </w:p>
    <w:p w14:paraId="4C578170" w14:textId="77777777" w:rsidR="00DC07EB" w:rsidRDefault="00367EE0">
      <w:pPr>
        <w:pStyle w:val="StandardWeb"/>
        <w:rPr>
          <w:rFonts w:ascii="Arial" w:hAnsi="Arial"/>
        </w:rPr>
      </w:pPr>
      <w:r>
        <w:rPr>
          <w:rFonts w:ascii="Arial" w:hAnsi="Arial"/>
        </w:rPr>
        <w:t xml:space="preserve">Normalna stolica je po obliku formirana, a dnevna količina iznosi 120-140 grama. U slučajevima kada je prolaz crijevnog sadržaja usporen, sluznica crijeva duže upija </w:t>
      </w:r>
      <w:r>
        <w:rPr>
          <w:rFonts w:ascii="Arial" w:hAnsi="Arial"/>
        </w:rPr>
        <w:t xml:space="preserve">vodu i stolica postaje tvrda. Normalnim pražnjenjem smatramo raspon od 2-3 stolice na dan do jedne u 3 dana. Završni dio crijeva (rektum) je inače prazan, a puni se neposredno prije početka pražnjenja i to tzv. propulzivnom akcijom gornjeg dijela crijeva. </w:t>
      </w:r>
      <w:r>
        <w:rPr>
          <w:rFonts w:ascii="Arial" w:hAnsi="Arial"/>
        </w:rPr>
        <w:t>Sama sluznica završnog dijela crijeva ima mnogo stanica koje luče sluz, tako da se ona može primijetiti i u stolici ako se duže zadržava u tom dijelu crijeva. Sam podražaj na pražnjenje izaziva širenje završnog dijela crijeva uz pritisak na međicu, koji up</w:t>
      </w:r>
      <w:r>
        <w:rPr>
          <w:rFonts w:ascii="Arial" w:hAnsi="Arial"/>
        </w:rPr>
        <w:t xml:space="preserve">otrebljavaju upravo pacijenti koji imaju problema s pražnjenjem crijeva. </w:t>
      </w:r>
      <w:r>
        <w:rPr>
          <w:rFonts w:ascii="Arial" w:hAnsi="Arial"/>
        </w:rPr>
        <w:br/>
      </w:r>
      <w:r>
        <w:rPr>
          <w:rFonts w:ascii="Arial" w:hAnsi="Arial"/>
        </w:rPr>
        <w:br/>
        <w:t xml:space="preserve">Probavni sustav sadrži oko 100 ml plinova, čiji sadržaj varira (vodik, metan, dušik, kisik, ugljik) ovisno o količini progutanog zraka i plinova koje proizvedu bakterije. Upravo je </w:t>
      </w:r>
      <w:r>
        <w:rPr>
          <w:rFonts w:ascii="Arial" w:hAnsi="Arial"/>
        </w:rPr>
        <w:t>proizvodnja plinova pod utjecajem bakterija razlog napuhnutosti nakon obroka povrća (npr. graha).</w:t>
      </w:r>
      <w:r>
        <w:rPr>
          <w:rFonts w:ascii="Arial" w:hAnsi="Arial"/>
        </w:rPr>
        <w:br/>
        <w:t>Ako se opstipacija ipak dogodi, a dijetetske mjere ne pomažu, treba pokušati s laksativima.</w:t>
      </w:r>
    </w:p>
    <w:p w14:paraId="540D836C" w14:textId="77777777" w:rsidR="00DC07EB" w:rsidRDefault="00367EE0">
      <w:pPr>
        <w:pStyle w:val="StandardWeb"/>
        <w:rPr>
          <w:rFonts w:ascii="Arial" w:hAnsi="Arial"/>
        </w:rPr>
      </w:pPr>
      <w:r>
        <w:rPr>
          <w:rStyle w:val="Naglaeno"/>
          <w:rFonts w:ascii="Arial" w:hAnsi="Arial"/>
        </w:rPr>
        <w:t>Laksativi</w:t>
      </w:r>
      <w:r>
        <w:rPr>
          <w:rFonts w:ascii="Arial" w:hAnsi="Arial"/>
        </w:rPr>
        <w:br/>
        <w:t>Laksative koristimo za liječenje akutnog zatvora. Laksat</w:t>
      </w:r>
      <w:r>
        <w:rPr>
          <w:rFonts w:ascii="Arial" w:hAnsi="Arial"/>
        </w:rPr>
        <w:t>ive također koristimo i kod priprema pacijenta za dijagnostičke ili operacijske zahvate, a i u slučaju trovanja kada treba što hitnije isprazniti probavni trakt. Razlikujemo skupine u ovisnosti o mehanizmu djelovanja:</w:t>
      </w:r>
    </w:p>
    <w:p w14:paraId="2577A8FE" w14:textId="77777777" w:rsidR="00DC07EB" w:rsidRDefault="00367EE0">
      <w:pPr>
        <w:numPr>
          <w:ilvl w:val="0"/>
          <w:numId w:val="2"/>
        </w:numPr>
        <w:spacing w:before="100" w:beforeAutospacing="1" w:after="100" w:afterAutospacing="1"/>
        <w:rPr>
          <w:rFonts w:ascii="Arial" w:hAnsi="Arial"/>
        </w:rPr>
      </w:pPr>
      <w:r>
        <w:rPr>
          <w:rFonts w:ascii="Arial" w:hAnsi="Arial"/>
        </w:rPr>
        <w:t xml:space="preserve">Osmotska sredstva </w:t>
      </w:r>
    </w:p>
    <w:p w14:paraId="7A9ADB2E" w14:textId="77777777" w:rsidR="00DC07EB" w:rsidRDefault="00367EE0">
      <w:pPr>
        <w:numPr>
          <w:ilvl w:val="0"/>
          <w:numId w:val="2"/>
        </w:numPr>
        <w:spacing w:before="100" w:beforeAutospacing="1" w:after="100" w:afterAutospacing="1"/>
        <w:rPr>
          <w:rFonts w:ascii="Arial" w:hAnsi="Arial"/>
        </w:rPr>
      </w:pPr>
      <w:r>
        <w:rPr>
          <w:rFonts w:ascii="Arial" w:hAnsi="Arial"/>
        </w:rPr>
        <w:t>Kontaktni laksativi</w:t>
      </w:r>
      <w:r>
        <w:rPr>
          <w:rFonts w:ascii="Arial" w:hAnsi="Arial"/>
        </w:rPr>
        <w:t xml:space="preserve"> </w:t>
      </w:r>
    </w:p>
    <w:p w14:paraId="21D77BC8" w14:textId="77777777" w:rsidR="00DC07EB" w:rsidRDefault="00367EE0">
      <w:pPr>
        <w:numPr>
          <w:ilvl w:val="0"/>
          <w:numId w:val="2"/>
        </w:numPr>
        <w:spacing w:before="100" w:beforeAutospacing="1" w:after="100" w:afterAutospacing="1"/>
        <w:rPr>
          <w:rFonts w:ascii="Arial" w:hAnsi="Arial"/>
        </w:rPr>
      </w:pPr>
      <w:r>
        <w:rPr>
          <w:rFonts w:ascii="Arial" w:hAnsi="Arial"/>
        </w:rPr>
        <w:t xml:space="preserve">Sredstva koja bubre </w:t>
      </w:r>
    </w:p>
    <w:p w14:paraId="62B47C19" w14:textId="77777777" w:rsidR="00DC07EB" w:rsidRDefault="00367EE0">
      <w:pPr>
        <w:numPr>
          <w:ilvl w:val="0"/>
          <w:numId w:val="2"/>
        </w:numPr>
        <w:spacing w:before="100" w:beforeAutospacing="1" w:after="100" w:afterAutospacing="1"/>
        <w:rPr>
          <w:rFonts w:ascii="Arial" w:hAnsi="Arial"/>
        </w:rPr>
      </w:pPr>
      <w:proofErr w:type="spellStart"/>
      <w:r>
        <w:rPr>
          <w:rFonts w:ascii="Arial" w:hAnsi="Arial"/>
        </w:rPr>
        <w:t>Emolijentni</w:t>
      </w:r>
      <w:proofErr w:type="spellEnd"/>
      <w:r>
        <w:rPr>
          <w:rFonts w:ascii="Arial" w:hAnsi="Arial"/>
        </w:rPr>
        <w:t xml:space="preserve"> laksativi </w:t>
      </w:r>
    </w:p>
    <w:p w14:paraId="4109C01F" w14:textId="77777777" w:rsidR="00DC07EB" w:rsidRDefault="00367EE0">
      <w:pPr>
        <w:numPr>
          <w:ilvl w:val="0"/>
          <w:numId w:val="2"/>
        </w:numPr>
        <w:spacing w:before="100" w:beforeAutospacing="1" w:after="100" w:afterAutospacing="1"/>
        <w:rPr>
          <w:rFonts w:ascii="Arial" w:hAnsi="Arial"/>
        </w:rPr>
      </w:pPr>
      <w:proofErr w:type="spellStart"/>
      <w:r>
        <w:rPr>
          <w:rFonts w:ascii="Arial" w:hAnsi="Arial"/>
        </w:rPr>
        <w:t>Antiapsorpcijski</w:t>
      </w:r>
      <w:proofErr w:type="spellEnd"/>
      <w:r>
        <w:rPr>
          <w:rFonts w:ascii="Arial" w:hAnsi="Arial"/>
        </w:rPr>
        <w:t xml:space="preserve"> laksativi </w:t>
      </w:r>
    </w:p>
    <w:p w14:paraId="2E1C3476" w14:textId="77777777" w:rsidR="00DC07EB" w:rsidRDefault="00367EE0">
      <w:pPr>
        <w:pStyle w:val="StandardWeb"/>
        <w:rPr>
          <w:rFonts w:ascii="Arial" w:hAnsi="Arial"/>
        </w:rPr>
      </w:pPr>
      <w:r>
        <w:rPr>
          <w:rStyle w:val="Naglaeno"/>
          <w:rFonts w:ascii="Arial" w:hAnsi="Arial"/>
        </w:rPr>
        <w:t xml:space="preserve">Osmotska sredstva </w:t>
      </w:r>
      <w:r>
        <w:rPr>
          <w:rFonts w:ascii="Arial" w:hAnsi="Arial"/>
          <w:b/>
          <w:bCs/>
        </w:rPr>
        <w:br/>
      </w:r>
      <w:r>
        <w:rPr>
          <w:rFonts w:ascii="Arial" w:hAnsi="Arial"/>
        </w:rPr>
        <w:t>Mehanizam djelovanja kod ove skupine jest da navlače velike količine vode u debelo crijevo čineći stolicu mekom i rahlom. U ovu skupinu spadaju anorganske soli mag</w:t>
      </w:r>
      <w:r>
        <w:rPr>
          <w:rFonts w:ascii="Arial" w:hAnsi="Arial"/>
        </w:rPr>
        <w:t xml:space="preserve">nezija (magnezijev sulfat - "gorka sol"), natrijev sulfat, </w:t>
      </w:r>
      <w:proofErr w:type="spellStart"/>
      <w:r>
        <w:rPr>
          <w:rFonts w:ascii="Arial" w:hAnsi="Arial"/>
        </w:rPr>
        <w:t>polialkoholi</w:t>
      </w:r>
      <w:proofErr w:type="spellEnd"/>
      <w:r>
        <w:rPr>
          <w:rFonts w:ascii="Arial" w:hAnsi="Arial"/>
        </w:rPr>
        <w:t xml:space="preserve"> (glicerol, </w:t>
      </w:r>
      <w:proofErr w:type="spellStart"/>
      <w:r>
        <w:rPr>
          <w:rFonts w:ascii="Arial" w:hAnsi="Arial"/>
        </w:rPr>
        <w:t>manitol</w:t>
      </w:r>
      <w:proofErr w:type="spellEnd"/>
      <w:r>
        <w:rPr>
          <w:rFonts w:ascii="Arial" w:hAnsi="Arial"/>
        </w:rPr>
        <w:t xml:space="preserve">, </w:t>
      </w:r>
      <w:proofErr w:type="spellStart"/>
      <w:r>
        <w:rPr>
          <w:rFonts w:ascii="Arial" w:hAnsi="Arial"/>
        </w:rPr>
        <w:t>sorbitol</w:t>
      </w:r>
      <w:proofErr w:type="spellEnd"/>
      <w:r>
        <w:rPr>
          <w:rFonts w:ascii="Arial" w:hAnsi="Arial"/>
        </w:rPr>
        <w:t xml:space="preserve">), šećeri koji se slabo resorbiraju kao što je laktoza ili </w:t>
      </w:r>
      <w:proofErr w:type="spellStart"/>
      <w:r>
        <w:rPr>
          <w:rFonts w:ascii="Arial" w:hAnsi="Arial"/>
        </w:rPr>
        <w:t>laktuloza</w:t>
      </w:r>
      <w:proofErr w:type="spellEnd"/>
      <w:r>
        <w:rPr>
          <w:rFonts w:ascii="Arial" w:hAnsi="Arial"/>
        </w:rPr>
        <w:t xml:space="preserve"> ili pak organske kiselina koje se slabo resorbiraju (limunska, vinska i jabučna kiselin</w:t>
      </w:r>
      <w:r>
        <w:rPr>
          <w:rFonts w:ascii="Arial" w:hAnsi="Arial"/>
        </w:rPr>
        <w:t>a). Takva sredstva su dobra za brzo rješavanje akutnog problema ali zbog mogućih nuspojava nisu pogodna za svakodnevnu primjenu.</w:t>
      </w:r>
      <w:r>
        <w:rPr>
          <w:rFonts w:ascii="Arial" w:hAnsi="Arial"/>
        </w:rPr>
        <w:br/>
        <w:t xml:space="preserve">Glicerol djeluje tako da navlači vodu u lumen crijeva iz okolnih tkiva. Sadržaj crijeva time postaje mekši i crijevna funkcija </w:t>
      </w:r>
      <w:r>
        <w:rPr>
          <w:rFonts w:ascii="Arial" w:hAnsi="Arial"/>
        </w:rPr>
        <w:t xml:space="preserve">biva olakšana. Dostupan je u obliku tekućine ili čepića, za rektalnu uporabu. Takav laksativ može pomoći u više situacija: kada je potrebno razviti normalnu crijevnu funkciju nakon perioda loše prehrane i nedostatka </w:t>
      </w:r>
      <w:r>
        <w:rPr>
          <w:rFonts w:ascii="Arial" w:hAnsi="Arial"/>
        </w:rPr>
        <w:lastRenderedPageBreak/>
        <w:t xml:space="preserve">fizičke aktivnosti, zatim u pripremi za </w:t>
      </w:r>
      <w:r>
        <w:rPr>
          <w:rFonts w:ascii="Arial" w:hAnsi="Arial"/>
        </w:rPr>
        <w:t>pregled ili operaciju, prije porođaja, u periodu od par dana nakon porođaja i može pomoći kod konstipacije često uzrokovane drugim lijekovima (</w:t>
      </w:r>
      <w:proofErr w:type="spellStart"/>
      <w:r>
        <w:rPr>
          <w:rFonts w:ascii="Arial" w:hAnsi="Arial"/>
        </w:rPr>
        <w:t>narkoanalgetici</w:t>
      </w:r>
      <w:proofErr w:type="spellEnd"/>
      <w:r>
        <w:rPr>
          <w:rFonts w:ascii="Arial" w:hAnsi="Arial"/>
        </w:rPr>
        <w:t xml:space="preserve">, antidepresivi, </w:t>
      </w:r>
      <w:proofErr w:type="spellStart"/>
      <w:r>
        <w:rPr>
          <w:rFonts w:ascii="Arial" w:hAnsi="Arial"/>
        </w:rPr>
        <w:t>antikonvulzivi</w:t>
      </w:r>
      <w:proofErr w:type="spellEnd"/>
      <w:r>
        <w:rPr>
          <w:rFonts w:ascii="Arial" w:hAnsi="Arial"/>
        </w:rPr>
        <w:t>, blokatori kalcijevih kanala). Neke nuspojave pri njegovoj upotreb</w:t>
      </w:r>
      <w:r>
        <w:rPr>
          <w:rFonts w:ascii="Arial" w:hAnsi="Arial"/>
        </w:rPr>
        <w:t>i mogu biti nelagoda u trbuhu, grčevi, vjetrovi. Treba uzeti u obzir i mogućnost alergijskih reakcija. Lokalna primjena bit će kontraindicirana kod medicinskih problema poput apendicitisa i rektalnog krvarenja nepoznatog uzroka.</w:t>
      </w:r>
    </w:p>
    <w:p w14:paraId="0B156C7C" w14:textId="77777777" w:rsidR="00DC07EB" w:rsidRDefault="00367EE0">
      <w:pPr>
        <w:pStyle w:val="StandardWeb"/>
        <w:rPr>
          <w:rFonts w:ascii="Arial" w:hAnsi="Arial"/>
        </w:rPr>
      </w:pPr>
      <w:r>
        <w:rPr>
          <w:rFonts w:ascii="Arial" w:hAnsi="Arial"/>
        </w:rPr>
        <w:br/>
      </w:r>
      <w:r>
        <w:rPr>
          <w:rStyle w:val="Naglaeno"/>
          <w:rFonts w:ascii="Arial" w:hAnsi="Arial"/>
        </w:rPr>
        <w:t>Kontaktni laksativi</w:t>
      </w:r>
      <w:r>
        <w:rPr>
          <w:rFonts w:ascii="Arial" w:hAnsi="Arial"/>
        </w:rPr>
        <w:br/>
        <w:t>Kontak</w:t>
      </w:r>
      <w:r>
        <w:rPr>
          <w:rFonts w:ascii="Arial" w:hAnsi="Arial"/>
        </w:rPr>
        <w:t xml:space="preserve">tni laksativi vrlo snažno, učinkovito i izravno potiču stijenke debelog crijeva uzrokujući njihovo stezanje i pomicanje stolice. To su, primjerice, </w:t>
      </w:r>
      <w:proofErr w:type="spellStart"/>
      <w:r>
        <w:rPr>
          <w:rFonts w:ascii="Arial" w:hAnsi="Arial"/>
        </w:rPr>
        <w:t>bisakodil</w:t>
      </w:r>
      <w:proofErr w:type="spellEnd"/>
      <w:r>
        <w:rPr>
          <w:rFonts w:ascii="Arial" w:hAnsi="Arial"/>
        </w:rPr>
        <w:t xml:space="preserve">, </w:t>
      </w:r>
      <w:proofErr w:type="spellStart"/>
      <w:r>
        <w:rPr>
          <w:rFonts w:ascii="Arial" w:hAnsi="Arial"/>
        </w:rPr>
        <w:t>senozidi</w:t>
      </w:r>
      <w:proofErr w:type="spellEnd"/>
      <w:r>
        <w:rPr>
          <w:rFonts w:ascii="Arial" w:hAnsi="Arial"/>
        </w:rPr>
        <w:t xml:space="preserve"> A i B iz biljke </w:t>
      </w:r>
      <w:proofErr w:type="spellStart"/>
      <w:r>
        <w:rPr>
          <w:rFonts w:ascii="Arial" w:hAnsi="Arial"/>
        </w:rPr>
        <w:t>sene</w:t>
      </w:r>
      <w:proofErr w:type="spellEnd"/>
      <w:r>
        <w:rPr>
          <w:rFonts w:ascii="Arial" w:hAnsi="Arial"/>
        </w:rPr>
        <w:t xml:space="preserve"> (</w:t>
      </w:r>
      <w:proofErr w:type="spellStart"/>
      <w:r>
        <w:rPr>
          <w:rFonts w:ascii="Arial" w:hAnsi="Arial"/>
        </w:rPr>
        <w:t>Cassia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angustifolia</w:t>
      </w:r>
      <w:proofErr w:type="spellEnd"/>
      <w:r>
        <w:rPr>
          <w:rFonts w:ascii="Arial" w:hAnsi="Arial"/>
        </w:rPr>
        <w:t xml:space="preserve">), </w:t>
      </w:r>
      <w:proofErr w:type="spellStart"/>
      <w:r>
        <w:rPr>
          <w:rFonts w:ascii="Arial" w:hAnsi="Arial"/>
        </w:rPr>
        <w:t>ramnozidi</w:t>
      </w:r>
      <w:proofErr w:type="spellEnd"/>
      <w:r>
        <w:rPr>
          <w:rFonts w:ascii="Arial" w:hAnsi="Arial"/>
        </w:rPr>
        <w:t xml:space="preserve"> iz kore </w:t>
      </w:r>
      <w:proofErr w:type="spellStart"/>
      <w:r>
        <w:rPr>
          <w:rFonts w:ascii="Arial" w:hAnsi="Arial"/>
        </w:rPr>
        <w:t>krkavine</w:t>
      </w:r>
      <w:proofErr w:type="spellEnd"/>
      <w:r>
        <w:rPr>
          <w:rFonts w:ascii="Arial" w:hAnsi="Arial"/>
        </w:rPr>
        <w:t xml:space="preserve"> (</w:t>
      </w:r>
      <w:proofErr w:type="spellStart"/>
      <w:r>
        <w:rPr>
          <w:rFonts w:ascii="Arial" w:hAnsi="Arial"/>
        </w:rPr>
        <w:t>Rhamnus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frangula</w:t>
      </w:r>
      <w:proofErr w:type="spellEnd"/>
      <w:r>
        <w:rPr>
          <w:rFonts w:ascii="Arial" w:hAnsi="Arial"/>
        </w:rPr>
        <w:t xml:space="preserve">), </w:t>
      </w:r>
      <w:proofErr w:type="spellStart"/>
      <w:r>
        <w:rPr>
          <w:rFonts w:ascii="Arial" w:hAnsi="Arial"/>
        </w:rPr>
        <w:t>fenolftalein</w:t>
      </w:r>
      <w:proofErr w:type="spellEnd"/>
      <w:r>
        <w:rPr>
          <w:rFonts w:ascii="Arial" w:hAnsi="Arial"/>
        </w:rPr>
        <w:t xml:space="preserve">, </w:t>
      </w:r>
      <w:proofErr w:type="spellStart"/>
      <w:r>
        <w:rPr>
          <w:rFonts w:ascii="Arial" w:hAnsi="Arial"/>
        </w:rPr>
        <w:t>glikozidi</w:t>
      </w:r>
      <w:proofErr w:type="spellEnd"/>
      <w:r>
        <w:rPr>
          <w:rFonts w:ascii="Arial" w:hAnsi="Arial"/>
        </w:rPr>
        <w:t xml:space="preserve"> iz rabarbare (</w:t>
      </w:r>
      <w:proofErr w:type="spellStart"/>
      <w:r>
        <w:rPr>
          <w:rFonts w:ascii="Arial" w:hAnsi="Arial"/>
        </w:rPr>
        <w:t>Rhei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rhizomae</w:t>
      </w:r>
      <w:proofErr w:type="spellEnd"/>
      <w:r>
        <w:rPr>
          <w:rFonts w:ascii="Arial" w:hAnsi="Arial"/>
        </w:rPr>
        <w:t>). Valja istaći da se oni mogu koristiti vrlo ograničeno jer izazivaju grčeve, a također mogu uzrokovati ovisnost o laksativima jer ukoliko se često uzimaju razvijaju sindrom lijenih crijeva. Također, č</w:t>
      </w:r>
      <w:r>
        <w:rPr>
          <w:rFonts w:ascii="Arial" w:hAnsi="Arial"/>
        </w:rPr>
        <w:t>esto i produženo uzimanje takvih laksativa izazvati će oštećenje debelog crijeva. Često se rabe prije dijagnostičkih pretraga u cilju uklanjanja sadržaja debelog crijeva.</w:t>
      </w:r>
      <w:r>
        <w:rPr>
          <w:rFonts w:ascii="Arial" w:hAnsi="Arial"/>
        </w:rPr>
        <w:br/>
      </w:r>
      <w:r>
        <w:rPr>
          <w:rFonts w:ascii="Arial" w:hAnsi="Arial"/>
        </w:rPr>
        <w:br/>
      </w:r>
      <w:proofErr w:type="spellStart"/>
      <w:r>
        <w:rPr>
          <w:rFonts w:ascii="Arial" w:hAnsi="Arial"/>
        </w:rPr>
        <w:t>Bisakodil</w:t>
      </w:r>
      <w:proofErr w:type="spellEnd"/>
      <w:r>
        <w:rPr>
          <w:rFonts w:ascii="Arial" w:hAnsi="Arial"/>
        </w:rPr>
        <w:t xml:space="preserve"> se u tankom crijevu  resorbira i nakon </w:t>
      </w:r>
      <w:proofErr w:type="spellStart"/>
      <w:r>
        <w:rPr>
          <w:rFonts w:ascii="Arial" w:hAnsi="Arial"/>
        </w:rPr>
        <w:t>biotransformacije</w:t>
      </w:r>
      <w:proofErr w:type="spellEnd"/>
      <w:r>
        <w:rPr>
          <w:rFonts w:ascii="Arial" w:hAnsi="Arial"/>
        </w:rPr>
        <w:t xml:space="preserve"> izlučuje u tanko </w:t>
      </w:r>
      <w:r>
        <w:rPr>
          <w:rFonts w:ascii="Arial" w:hAnsi="Arial"/>
        </w:rPr>
        <w:t xml:space="preserve">crijevu preko žuči. Dakako, izlučuje se u obliku </w:t>
      </w:r>
      <w:proofErr w:type="spellStart"/>
      <w:r>
        <w:rPr>
          <w:rFonts w:ascii="Arial" w:hAnsi="Arial"/>
        </w:rPr>
        <w:t>glukuronida</w:t>
      </w:r>
      <w:proofErr w:type="spellEnd"/>
      <w:r>
        <w:rPr>
          <w:rFonts w:ascii="Arial" w:hAnsi="Arial"/>
        </w:rPr>
        <w:t xml:space="preserve"> pa se ne može iznova apsorbirati te stoga prelazi u debelo crijevo gdje se pod utjecajem bakterijske flore iznova oslobađa </w:t>
      </w:r>
      <w:proofErr w:type="spellStart"/>
      <w:r>
        <w:rPr>
          <w:rFonts w:ascii="Arial" w:hAnsi="Arial"/>
        </w:rPr>
        <w:t>bisakodil</w:t>
      </w:r>
      <w:proofErr w:type="spellEnd"/>
      <w:r>
        <w:rPr>
          <w:rFonts w:ascii="Arial" w:hAnsi="Arial"/>
        </w:rPr>
        <w:t>. On djeluje na sluznicu potičući peristaltiku crijeva. Zbog ta</w:t>
      </w:r>
      <w:r>
        <w:rPr>
          <w:rFonts w:ascii="Arial" w:hAnsi="Arial"/>
        </w:rPr>
        <w:t>ko dugog puta do mjesta djelovanja djelovanje mu počinje tek za 6 do 12 sati, ali ako se primjeni u obliku čepića tada djelovanje započinje puno brže - za pola sata do sat vremena. Tijekom primjene mogu se pojaviti tegobe u trbuhu, uključujući grčeve i bol</w:t>
      </w:r>
      <w:r>
        <w:rPr>
          <w:rFonts w:ascii="Arial" w:hAnsi="Arial"/>
        </w:rPr>
        <w:t xml:space="preserve"> u trbuhu. Zapažen je i proljev.</w:t>
      </w:r>
      <w:r>
        <w:rPr>
          <w:rFonts w:ascii="Arial" w:hAnsi="Arial"/>
        </w:rPr>
        <w:br/>
      </w:r>
      <w:r>
        <w:rPr>
          <w:rFonts w:ascii="Arial" w:hAnsi="Arial"/>
        </w:rPr>
        <w:br/>
      </w:r>
      <w:proofErr w:type="spellStart"/>
      <w:r>
        <w:rPr>
          <w:rFonts w:ascii="Arial" w:hAnsi="Arial"/>
        </w:rPr>
        <w:t>Senozidi</w:t>
      </w:r>
      <w:proofErr w:type="spellEnd"/>
      <w:r>
        <w:rPr>
          <w:rFonts w:ascii="Arial" w:hAnsi="Arial"/>
        </w:rPr>
        <w:t xml:space="preserve"> A i B jesu </w:t>
      </w:r>
      <w:proofErr w:type="spellStart"/>
      <w:r>
        <w:rPr>
          <w:rFonts w:ascii="Arial" w:hAnsi="Arial"/>
        </w:rPr>
        <w:t>antrakinonski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glikozidi</w:t>
      </w:r>
      <w:proofErr w:type="spellEnd"/>
      <w:r>
        <w:rPr>
          <w:rFonts w:ascii="Arial" w:hAnsi="Arial"/>
        </w:rPr>
        <w:t xml:space="preserve"> iz lišća i ploda biljke </w:t>
      </w:r>
      <w:proofErr w:type="spellStart"/>
      <w:r>
        <w:rPr>
          <w:rFonts w:ascii="Arial" w:hAnsi="Arial"/>
        </w:rPr>
        <w:t>sene</w:t>
      </w:r>
      <w:proofErr w:type="spellEnd"/>
      <w:r>
        <w:rPr>
          <w:rFonts w:ascii="Arial" w:hAnsi="Arial"/>
        </w:rPr>
        <w:t xml:space="preserve"> (</w:t>
      </w:r>
      <w:proofErr w:type="spellStart"/>
      <w:r>
        <w:rPr>
          <w:rFonts w:ascii="Arial" w:hAnsi="Arial"/>
        </w:rPr>
        <w:t>Cassia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angustifolia</w:t>
      </w:r>
      <w:proofErr w:type="spellEnd"/>
      <w:r>
        <w:rPr>
          <w:rFonts w:ascii="Arial" w:hAnsi="Arial"/>
        </w:rPr>
        <w:t>). Od davnina je opisivana kao sredstvo koje izvrsno čisti i otklanja lijenost donjega dijela trbuha jer "otapa" sve što sustigne</w:t>
      </w:r>
      <w:r>
        <w:rPr>
          <w:rFonts w:ascii="Arial" w:hAnsi="Arial"/>
        </w:rPr>
        <w:t xml:space="preserve">. </w:t>
      </w:r>
      <w:proofErr w:type="spellStart"/>
      <w:r>
        <w:rPr>
          <w:rFonts w:ascii="Arial" w:hAnsi="Arial"/>
        </w:rPr>
        <w:t>Senozidi</w:t>
      </w:r>
      <w:proofErr w:type="spellEnd"/>
      <w:r>
        <w:rPr>
          <w:rFonts w:ascii="Arial" w:hAnsi="Arial"/>
        </w:rPr>
        <w:t xml:space="preserve"> se u probavnom sustavu razgrađuju na </w:t>
      </w:r>
      <w:proofErr w:type="spellStart"/>
      <w:r>
        <w:rPr>
          <w:rFonts w:ascii="Arial" w:hAnsi="Arial"/>
        </w:rPr>
        <w:t>antrakinone</w:t>
      </w:r>
      <w:proofErr w:type="spellEnd"/>
      <w:r>
        <w:rPr>
          <w:rFonts w:ascii="Arial" w:hAnsi="Arial"/>
        </w:rPr>
        <w:t xml:space="preserve"> koji se apsorbiraju u tankom crijevu da bi se opet izlučili na sluznici kolona gdje zajedno s neapsorbiranim dijelom lijeka djeluju kao kemijski laksativi. Zbog toga laksativni učinak nastupa tek </w:t>
      </w:r>
      <w:r>
        <w:rPr>
          <w:rFonts w:ascii="Arial" w:hAnsi="Arial"/>
        </w:rPr>
        <w:t xml:space="preserve">nakon 6 do 10 sati te  je pripravak na bazi </w:t>
      </w:r>
      <w:proofErr w:type="spellStart"/>
      <w:r>
        <w:rPr>
          <w:rFonts w:ascii="Arial" w:hAnsi="Arial"/>
        </w:rPr>
        <w:t>sene</w:t>
      </w:r>
      <w:proofErr w:type="spellEnd"/>
      <w:r>
        <w:rPr>
          <w:rFonts w:ascii="Arial" w:hAnsi="Arial"/>
        </w:rPr>
        <w:t xml:space="preserve"> dobro uzeti navečer prije spavanja jer tijekom noći dolazi do poticanja probavnih procesa, odnosno laksativnog učinka sljedeće jutro.</w:t>
      </w:r>
      <w:r>
        <w:rPr>
          <w:rFonts w:ascii="Arial" w:hAnsi="Arial"/>
        </w:rPr>
        <w:br/>
      </w:r>
      <w:r>
        <w:rPr>
          <w:rFonts w:ascii="Arial" w:hAnsi="Arial"/>
        </w:rPr>
        <w:br/>
        <w:t xml:space="preserve">Kod primjene </w:t>
      </w:r>
      <w:proofErr w:type="spellStart"/>
      <w:r>
        <w:rPr>
          <w:rFonts w:ascii="Arial" w:hAnsi="Arial"/>
        </w:rPr>
        <w:t>senozida</w:t>
      </w:r>
      <w:proofErr w:type="spellEnd"/>
      <w:r>
        <w:rPr>
          <w:rFonts w:ascii="Arial" w:hAnsi="Arial"/>
        </w:rPr>
        <w:t xml:space="preserve"> boja mokraće je smeđa ako je urin kiseo, a crvena </w:t>
      </w:r>
      <w:r>
        <w:rPr>
          <w:rFonts w:ascii="Arial" w:hAnsi="Arial"/>
        </w:rPr>
        <w:t xml:space="preserve">ako je urin bazičan. </w:t>
      </w:r>
      <w:proofErr w:type="spellStart"/>
      <w:r>
        <w:rPr>
          <w:rFonts w:ascii="Arial" w:hAnsi="Arial"/>
        </w:rPr>
        <w:t>Senozidi</w:t>
      </w:r>
      <w:proofErr w:type="spellEnd"/>
      <w:r>
        <w:rPr>
          <w:rFonts w:ascii="Arial" w:hAnsi="Arial"/>
        </w:rPr>
        <w:t xml:space="preserve"> mogu uzrokovati kolitis i hiperemiju male zdjelice pa se ne preporuča bilo kakve pripravke na bazi </w:t>
      </w:r>
      <w:proofErr w:type="spellStart"/>
      <w:r>
        <w:rPr>
          <w:rFonts w:ascii="Arial" w:hAnsi="Arial"/>
        </w:rPr>
        <w:t>sene</w:t>
      </w:r>
      <w:proofErr w:type="spellEnd"/>
      <w:r>
        <w:rPr>
          <w:rFonts w:ascii="Arial" w:hAnsi="Arial"/>
        </w:rPr>
        <w:t xml:space="preserve"> davati trudnicama, tijekom menstruacije i pri upalnim procesima zdjeličnih organa. Katkada uzrokuju grčeve i stoga se ne s</w:t>
      </w:r>
      <w:r>
        <w:rPr>
          <w:rFonts w:ascii="Arial" w:hAnsi="Arial"/>
        </w:rPr>
        <w:t xml:space="preserve">miju davati djeci. </w:t>
      </w:r>
      <w:proofErr w:type="spellStart"/>
      <w:r>
        <w:rPr>
          <w:rFonts w:ascii="Arial" w:hAnsi="Arial"/>
        </w:rPr>
        <w:t>Senozidi</w:t>
      </w:r>
      <w:proofErr w:type="spellEnd"/>
      <w:r>
        <w:rPr>
          <w:rFonts w:ascii="Arial" w:hAnsi="Arial"/>
        </w:rPr>
        <w:t xml:space="preserve"> obično dolaze u obliku ekstrakata iz lišća ili ploda </w:t>
      </w:r>
      <w:proofErr w:type="spellStart"/>
      <w:r>
        <w:rPr>
          <w:rFonts w:ascii="Arial" w:hAnsi="Arial"/>
        </w:rPr>
        <w:t>sene</w:t>
      </w:r>
      <w:proofErr w:type="spellEnd"/>
      <w:r>
        <w:rPr>
          <w:rFonts w:ascii="Arial" w:hAnsi="Arial"/>
        </w:rPr>
        <w:t xml:space="preserve">. Takvi ekstrakti sadržavaju različite količine </w:t>
      </w:r>
      <w:proofErr w:type="spellStart"/>
      <w:r>
        <w:rPr>
          <w:rFonts w:ascii="Arial" w:hAnsi="Arial"/>
        </w:rPr>
        <w:t>senozida</w:t>
      </w:r>
      <w:proofErr w:type="spellEnd"/>
      <w:r>
        <w:rPr>
          <w:rFonts w:ascii="Arial" w:hAnsi="Arial"/>
        </w:rPr>
        <w:t xml:space="preserve"> pa se stoga moraju biološki standardizirati. </w:t>
      </w:r>
      <w:proofErr w:type="spellStart"/>
      <w:r>
        <w:rPr>
          <w:rFonts w:ascii="Arial" w:hAnsi="Arial"/>
        </w:rPr>
        <w:t>Senozidi</w:t>
      </w:r>
      <w:proofErr w:type="spellEnd"/>
      <w:r>
        <w:rPr>
          <w:rFonts w:ascii="Arial" w:hAnsi="Arial"/>
        </w:rPr>
        <w:t xml:space="preserve"> A i B se primjenjuje u svrhu pražnjenja crijeva prije radiol</w:t>
      </w:r>
      <w:r>
        <w:rPr>
          <w:rFonts w:ascii="Arial" w:hAnsi="Arial"/>
        </w:rPr>
        <w:t xml:space="preserve">oških pregleda probavnog i mokraćno-spolnog sustava, scintigrafije cijelog tijela, prije kolonoskopije i rektoskopije te pri zatvoru. </w:t>
      </w:r>
      <w:r>
        <w:rPr>
          <w:rFonts w:ascii="Arial" w:hAnsi="Arial"/>
        </w:rPr>
        <w:br/>
        <w:t>Sena se preporučuje prije svega u obliku već gotovih, standardiziranih farmaceutskih pripravaka, zbog mogućnosti točnijeg</w:t>
      </w:r>
      <w:r>
        <w:rPr>
          <w:rFonts w:ascii="Arial" w:hAnsi="Arial"/>
        </w:rPr>
        <w:t xml:space="preserve"> i sigurnijeg doziranja te prilagođivanja doze specifičnim potrebama pojedinca.</w:t>
      </w:r>
      <w:r>
        <w:rPr>
          <w:rFonts w:ascii="Arial" w:hAnsi="Arial"/>
        </w:rPr>
        <w:br/>
      </w:r>
      <w:r>
        <w:rPr>
          <w:rFonts w:ascii="Arial" w:hAnsi="Arial"/>
        </w:rPr>
        <w:lastRenderedPageBreak/>
        <w:t xml:space="preserve">Na tržištu postoje u obliku sirupa s ekstraktima </w:t>
      </w:r>
      <w:proofErr w:type="spellStart"/>
      <w:r>
        <w:rPr>
          <w:rFonts w:ascii="Arial" w:hAnsi="Arial"/>
        </w:rPr>
        <w:t>sene</w:t>
      </w:r>
      <w:proofErr w:type="spellEnd"/>
      <w:r>
        <w:rPr>
          <w:rFonts w:ascii="Arial" w:hAnsi="Arial"/>
        </w:rPr>
        <w:t xml:space="preserve">, u obliku čaja (gdje je lišće ili plod </w:t>
      </w:r>
      <w:proofErr w:type="spellStart"/>
      <w:r>
        <w:rPr>
          <w:rFonts w:ascii="Arial" w:hAnsi="Arial"/>
        </w:rPr>
        <w:t>sene</w:t>
      </w:r>
      <w:proofErr w:type="spellEnd"/>
      <w:r>
        <w:rPr>
          <w:rFonts w:ascii="Arial" w:hAnsi="Arial"/>
        </w:rPr>
        <w:t xml:space="preserve"> </w:t>
      </w:r>
      <w:proofErr w:type="spellStart"/>
      <w:r>
        <w:rPr>
          <w:rFonts w:ascii="Arial" w:hAnsi="Arial"/>
        </w:rPr>
        <w:t>monodroga</w:t>
      </w:r>
      <w:proofErr w:type="spellEnd"/>
      <w:r>
        <w:rPr>
          <w:rFonts w:ascii="Arial" w:hAnsi="Arial"/>
        </w:rPr>
        <w:t xml:space="preserve"> ili mješavina), u obliku granula (</w:t>
      </w:r>
      <w:proofErr w:type="spellStart"/>
      <w:r>
        <w:rPr>
          <w:rFonts w:ascii="Arial" w:hAnsi="Arial"/>
        </w:rPr>
        <w:t>Purisan</w:t>
      </w:r>
      <w:proofErr w:type="spellEnd"/>
      <w:r>
        <w:rPr>
          <w:rFonts w:ascii="Arial" w:hAnsi="Arial"/>
        </w:rPr>
        <w:t xml:space="preserve"> granule), dražeja i tablet</w:t>
      </w:r>
      <w:r>
        <w:rPr>
          <w:rFonts w:ascii="Arial" w:hAnsi="Arial"/>
        </w:rPr>
        <w:t>a.</w:t>
      </w:r>
    </w:p>
    <w:p w14:paraId="4FEF8DD0" w14:textId="77777777" w:rsidR="00DC07EB" w:rsidRDefault="00367EE0">
      <w:pPr>
        <w:pStyle w:val="StandardWeb"/>
        <w:rPr>
          <w:rFonts w:ascii="Arial" w:hAnsi="Arial"/>
        </w:rPr>
      </w:pPr>
      <w:r>
        <w:rPr>
          <w:rStyle w:val="Naglaeno"/>
          <w:rFonts w:ascii="Arial" w:hAnsi="Arial"/>
        </w:rPr>
        <w:t xml:space="preserve">Kada primijeniti </w:t>
      </w:r>
      <w:proofErr w:type="spellStart"/>
      <w:r>
        <w:rPr>
          <w:rStyle w:val="Naglaeno"/>
          <w:rFonts w:ascii="Arial" w:hAnsi="Arial"/>
        </w:rPr>
        <w:t>Purisan</w:t>
      </w:r>
      <w:proofErr w:type="spellEnd"/>
      <w:r>
        <w:rPr>
          <w:rStyle w:val="Naglaeno"/>
          <w:rFonts w:ascii="Arial" w:hAnsi="Arial"/>
        </w:rPr>
        <w:t xml:space="preserve"> granule?</w:t>
      </w:r>
      <w:r>
        <w:rPr>
          <w:rFonts w:ascii="Arial" w:hAnsi="Arial"/>
        </w:rPr>
        <w:br/>
      </w:r>
      <w:proofErr w:type="spellStart"/>
      <w:r>
        <w:rPr>
          <w:rFonts w:ascii="Arial" w:hAnsi="Arial"/>
        </w:rPr>
        <w:t>Purisan</w:t>
      </w:r>
      <w:proofErr w:type="spellEnd"/>
      <w:r>
        <w:rPr>
          <w:rFonts w:ascii="Arial" w:hAnsi="Arial"/>
        </w:rPr>
        <w:t xml:space="preserve"> granule djelotvorno olakšavaju tegobe opstipacije, a koriste se i za pražnjenje crijeva prije radioloških i endoskopskih pretraga.</w:t>
      </w:r>
      <w:r>
        <w:rPr>
          <w:rFonts w:ascii="Arial" w:hAnsi="Arial"/>
        </w:rPr>
        <w:br/>
      </w:r>
      <w:proofErr w:type="spellStart"/>
      <w:r>
        <w:rPr>
          <w:rFonts w:ascii="Arial" w:hAnsi="Arial"/>
        </w:rPr>
        <w:t>Purisan</w:t>
      </w:r>
      <w:proofErr w:type="spellEnd"/>
      <w:r>
        <w:rPr>
          <w:rFonts w:ascii="Arial" w:hAnsi="Arial"/>
        </w:rPr>
        <w:t xml:space="preserve"> granule je lijek biljnog porijekla koji u svom sastavu sadrži ekstrakt aleksandrijske </w:t>
      </w:r>
      <w:proofErr w:type="spellStart"/>
      <w:r>
        <w:rPr>
          <w:rFonts w:ascii="Arial" w:hAnsi="Arial"/>
        </w:rPr>
        <w:t>sene</w:t>
      </w:r>
      <w:proofErr w:type="spellEnd"/>
      <w:r>
        <w:rPr>
          <w:rFonts w:ascii="Arial" w:hAnsi="Arial"/>
        </w:rPr>
        <w:t xml:space="preserve"> koja se stoljećima</w:t>
      </w:r>
      <w:r>
        <w:rPr>
          <w:rFonts w:ascii="Arial" w:hAnsi="Arial"/>
        </w:rPr>
        <w:t xml:space="preserve"> koristi za olakšavanje opstipacije. Odraslima i djeci iznad 10 godina preporučuje se uzimanje 1 vrećice na dan, najbolje navečer. Ne preporučuje se primjena kod djece ispod 10 godina života</w:t>
      </w:r>
    </w:p>
    <w:p w14:paraId="34204A51" w14:textId="77777777" w:rsidR="00DC07EB" w:rsidRDefault="00367EE0">
      <w:pPr>
        <w:pStyle w:val="StandardWeb"/>
        <w:rPr>
          <w:rFonts w:ascii="Arial" w:hAnsi="Arial"/>
        </w:rPr>
      </w:pPr>
      <w:r>
        <w:rPr>
          <w:rFonts w:ascii="Arial" w:hAnsi="Arial"/>
        </w:rPr>
        <w:br/>
      </w:r>
      <w:r>
        <w:rPr>
          <w:rStyle w:val="Naglaeno"/>
          <w:rFonts w:ascii="Arial" w:hAnsi="Arial"/>
        </w:rPr>
        <w:t xml:space="preserve">Sredstva koja bubre </w:t>
      </w:r>
      <w:r>
        <w:rPr>
          <w:rFonts w:ascii="Arial" w:hAnsi="Arial"/>
          <w:b/>
          <w:bCs/>
        </w:rPr>
        <w:br/>
      </w:r>
      <w:r>
        <w:rPr>
          <w:rFonts w:ascii="Arial" w:hAnsi="Arial"/>
        </w:rPr>
        <w:t>Ovi laksativi povećavaju obujam stolice čim</w:t>
      </w:r>
      <w:r>
        <w:rPr>
          <w:rFonts w:ascii="Arial" w:hAnsi="Arial"/>
        </w:rPr>
        <w:t xml:space="preserve">e se potiče prirodno stezanje crijeva. Također, takva sredstva navlače vodu i omekšavaju stolicu. To su npr. pektini iz voća (smokve, šljive), mekinje, ljuskice sjemena indijskog trpuca, </w:t>
      </w:r>
      <w:proofErr w:type="spellStart"/>
      <w:r>
        <w:rPr>
          <w:rFonts w:ascii="Arial" w:hAnsi="Arial"/>
        </w:rPr>
        <w:t>psilij</w:t>
      </w:r>
      <w:proofErr w:type="spellEnd"/>
      <w:r>
        <w:rPr>
          <w:rFonts w:ascii="Arial" w:hAnsi="Arial"/>
        </w:rPr>
        <w:t xml:space="preserve">, kalcijev </w:t>
      </w:r>
      <w:proofErr w:type="spellStart"/>
      <w:r>
        <w:rPr>
          <w:rFonts w:ascii="Arial" w:hAnsi="Arial"/>
        </w:rPr>
        <w:t>polikarbofil</w:t>
      </w:r>
      <w:proofErr w:type="spellEnd"/>
      <w:r>
        <w:rPr>
          <w:rFonts w:ascii="Arial" w:hAnsi="Arial"/>
        </w:rPr>
        <w:t xml:space="preserve"> i </w:t>
      </w:r>
      <w:proofErr w:type="spellStart"/>
      <w:r>
        <w:rPr>
          <w:rFonts w:ascii="Arial" w:hAnsi="Arial"/>
        </w:rPr>
        <w:t>metilceluloza</w:t>
      </w:r>
      <w:proofErr w:type="spellEnd"/>
      <w:r>
        <w:rPr>
          <w:rFonts w:ascii="Arial" w:hAnsi="Arial"/>
        </w:rPr>
        <w:t>. Vrlo su prikladna za l</w:t>
      </w:r>
      <w:r>
        <w:rPr>
          <w:rFonts w:ascii="Arial" w:hAnsi="Arial"/>
        </w:rPr>
        <w:t>iječenje kroničnog oblika zatvora zbog svog polaganog i prirodnog djelovanja te sigurnosti. Naime, unošenje takvih tvari simulira "prirodniju" prehranu koja bi trebala biti puno bogatija neprobavljivim vlaknima.</w:t>
      </w:r>
    </w:p>
    <w:p w14:paraId="55CFD287" w14:textId="77777777" w:rsidR="00DC07EB" w:rsidRDefault="00367EE0">
      <w:pPr>
        <w:pStyle w:val="StandardWeb"/>
        <w:rPr>
          <w:rFonts w:ascii="Arial" w:hAnsi="Arial"/>
        </w:rPr>
      </w:pPr>
      <w:proofErr w:type="spellStart"/>
      <w:r>
        <w:rPr>
          <w:rStyle w:val="Naglaeno"/>
          <w:rFonts w:ascii="Arial" w:hAnsi="Arial"/>
        </w:rPr>
        <w:t>Emolijentni</w:t>
      </w:r>
      <w:proofErr w:type="spellEnd"/>
      <w:r>
        <w:rPr>
          <w:rStyle w:val="Naglaeno"/>
          <w:rFonts w:ascii="Arial" w:hAnsi="Arial"/>
        </w:rPr>
        <w:t xml:space="preserve"> laksativi</w:t>
      </w:r>
      <w:r>
        <w:rPr>
          <w:rFonts w:ascii="Arial" w:hAnsi="Arial"/>
        </w:rPr>
        <w:br/>
        <w:t>Ti laksativi olakšavaj</w:t>
      </w:r>
      <w:r>
        <w:rPr>
          <w:rFonts w:ascii="Arial" w:hAnsi="Arial"/>
        </w:rPr>
        <w:t xml:space="preserve">u defekaciju tako što razvodnjavaju i omekšavaju </w:t>
      </w:r>
      <w:proofErr w:type="spellStart"/>
      <w:r>
        <w:rPr>
          <w:rFonts w:ascii="Arial" w:hAnsi="Arial"/>
        </w:rPr>
        <w:t>feces</w:t>
      </w:r>
      <w:proofErr w:type="spellEnd"/>
      <w:r>
        <w:rPr>
          <w:rFonts w:ascii="Arial" w:hAnsi="Arial"/>
        </w:rPr>
        <w:t xml:space="preserve">. Nazivaju se još i skliskim sredstvima. Primjerice to su tekući parafin (koji se ne koristi zbog sumnje u kancerogenost) i maslinovo ulje. Također, u ovu skupinu spada i natrijev </w:t>
      </w:r>
      <w:proofErr w:type="spellStart"/>
      <w:r>
        <w:rPr>
          <w:rFonts w:ascii="Arial" w:hAnsi="Arial"/>
        </w:rPr>
        <w:t>dokuzat</w:t>
      </w:r>
      <w:proofErr w:type="spellEnd"/>
      <w:r>
        <w:rPr>
          <w:rFonts w:ascii="Arial" w:hAnsi="Arial"/>
        </w:rPr>
        <w:t xml:space="preserve"> koji nije ništ</w:t>
      </w:r>
      <w:r>
        <w:rPr>
          <w:rFonts w:ascii="Arial" w:hAnsi="Arial"/>
        </w:rPr>
        <w:t xml:space="preserve">a drugo nego posebna vrsta </w:t>
      </w:r>
      <w:proofErr w:type="spellStart"/>
      <w:r>
        <w:rPr>
          <w:rFonts w:ascii="Arial" w:hAnsi="Arial"/>
        </w:rPr>
        <w:t>detergenta</w:t>
      </w:r>
      <w:proofErr w:type="spellEnd"/>
      <w:r>
        <w:rPr>
          <w:rFonts w:ascii="Arial" w:hAnsi="Arial"/>
        </w:rPr>
        <w:t>. Danas su uglavnom napušteni.</w:t>
      </w:r>
      <w:r>
        <w:rPr>
          <w:rFonts w:ascii="Arial" w:hAnsi="Arial"/>
        </w:rPr>
        <w:br/>
      </w:r>
      <w:r>
        <w:rPr>
          <w:rFonts w:ascii="Arial" w:hAnsi="Arial"/>
        </w:rPr>
        <w:br/>
      </w:r>
      <w:proofErr w:type="spellStart"/>
      <w:r>
        <w:rPr>
          <w:rStyle w:val="Naglaeno"/>
          <w:rFonts w:ascii="Arial" w:hAnsi="Arial"/>
        </w:rPr>
        <w:t>Antiapsorpcijski</w:t>
      </w:r>
      <w:proofErr w:type="spellEnd"/>
      <w:r>
        <w:rPr>
          <w:rStyle w:val="Naglaeno"/>
          <w:rFonts w:ascii="Arial" w:hAnsi="Arial"/>
        </w:rPr>
        <w:t xml:space="preserve"> laksativi</w:t>
      </w:r>
      <w:r>
        <w:rPr>
          <w:rFonts w:ascii="Arial" w:hAnsi="Arial"/>
        </w:rPr>
        <w:br/>
        <w:t xml:space="preserve">U pitanju su izrazito jaki laksativi. Djeluju na način da izazivaju ulazak vode ili blokadu apsorpcije vode pa stolica postaje mekana. Zapravo, ovakva sredstva </w:t>
      </w:r>
      <w:r>
        <w:rPr>
          <w:rFonts w:ascii="Arial" w:hAnsi="Arial"/>
        </w:rPr>
        <w:t xml:space="preserve">izazivaju stanje proljeva. To su npr. ricinusovo ulje, </w:t>
      </w:r>
      <w:proofErr w:type="spellStart"/>
      <w:r>
        <w:rPr>
          <w:rFonts w:ascii="Arial" w:hAnsi="Arial"/>
        </w:rPr>
        <w:t>krotonovo</w:t>
      </w:r>
      <w:proofErr w:type="spellEnd"/>
      <w:r>
        <w:rPr>
          <w:rFonts w:ascii="Arial" w:hAnsi="Arial"/>
        </w:rPr>
        <w:t xml:space="preserve"> ulje i </w:t>
      </w:r>
      <w:proofErr w:type="spellStart"/>
      <w:r>
        <w:rPr>
          <w:rFonts w:ascii="Arial" w:hAnsi="Arial"/>
        </w:rPr>
        <w:t>dr</w:t>
      </w:r>
      <w:proofErr w:type="spellEnd"/>
    </w:p>
    <w:sectPr w:rsidR="00DC07EB">
      <w:footerReference w:type="even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6E6200" w14:textId="77777777" w:rsidR="00367EE0" w:rsidRDefault="00367EE0">
      <w:r>
        <w:separator/>
      </w:r>
    </w:p>
  </w:endnote>
  <w:endnote w:type="continuationSeparator" w:id="0">
    <w:p w14:paraId="1BB1152D" w14:textId="77777777" w:rsidR="00367EE0" w:rsidRDefault="00367E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auto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C5C76D" w14:textId="77777777" w:rsidR="00DC07EB" w:rsidRDefault="00367EE0">
    <w:pPr>
      <w:pStyle w:val="Podnoje"/>
      <w:framePr w:wrap="around" w:vAnchor="text" w:hAnchor="margin" w:xAlign="right" w:y="1"/>
      <w:rPr>
        <w:rStyle w:val="Brojstranice"/>
      </w:rPr>
    </w:pPr>
    <w:r>
      <w:rPr>
        <w:rStyle w:val="Brojstranice"/>
      </w:rPr>
      <w:fldChar w:fldCharType="begin"/>
    </w:r>
    <w:r>
      <w:rPr>
        <w:rStyle w:val="Brojstranice"/>
      </w:rPr>
      <w:instrText xml:space="preserve">PAGE  </w:instrText>
    </w:r>
    <w:r>
      <w:rPr>
        <w:rStyle w:val="Brojstranice"/>
      </w:rPr>
      <w:fldChar w:fldCharType="end"/>
    </w:r>
  </w:p>
  <w:p w14:paraId="4C8091AA" w14:textId="77777777" w:rsidR="00DC07EB" w:rsidRDefault="00DC07EB">
    <w:pPr>
      <w:pStyle w:val="Podnoj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ED98EB" w14:textId="77777777" w:rsidR="00DC07EB" w:rsidRDefault="00367EE0">
    <w:pPr>
      <w:pStyle w:val="Podnoje"/>
      <w:framePr w:wrap="around" w:vAnchor="text" w:hAnchor="margin" w:xAlign="right" w:y="1"/>
      <w:rPr>
        <w:rStyle w:val="Brojstranice"/>
      </w:rPr>
    </w:pPr>
    <w:r>
      <w:rPr>
        <w:rStyle w:val="Brojstranice"/>
      </w:rPr>
      <w:fldChar w:fldCharType="begin"/>
    </w:r>
    <w:r>
      <w:rPr>
        <w:rStyle w:val="Brojstranice"/>
      </w:rPr>
      <w:instrText xml:space="preserve">PAGE  </w:instrText>
    </w:r>
    <w:r>
      <w:rPr>
        <w:rStyle w:val="Brojstranice"/>
      </w:rPr>
      <w:fldChar w:fldCharType="separate"/>
    </w:r>
    <w:r>
      <w:rPr>
        <w:rStyle w:val="Brojstranice"/>
      </w:rPr>
      <w:t>4</w:t>
    </w:r>
    <w:r>
      <w:rPr>
        <w:rStyle w:val="Brojstranice"/>
      </w:rPr>
      <w:fldChar w:fldCharType="end"/>
    </w:r>
  </w:p>
  <w:p w14:paraId="5D103EB8" w14:textId="77777777" w:rsidR="00DC07EB" w:rsidRDefault="00DC07EB">
    <w:pPr>
      <w:pStyle w:val="Podnoj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056E43" w14:textId="77777777" w:rsidR="00367EE0" w:rsidRDefault="00367EE0">
      <w:r>
        <w:separator/>
      </w:r>
    </w:p>
  </w:footnote>
  <w:footnote w:type="continuationSeparator" w:id="0">
    <w:p w14:paraId="317D1903" w14:textId="77777777" w:rsidR="00367EE0" w:rsidRDefault="00367E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9174DB"/>
    <w:multiLevelType w:val="hybridMultilevel"/>
    <w:tmpl w:val="9656FD26"/>
    <w:lvl w:ilvl="0" w:tplc="4800A9F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558486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CB2316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7B4CD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23ED91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2C08D0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B4E209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58C2BA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C2091D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98B0F54"/>
    <w:multiLevelType w:val="hybridMultilevel"/>
    <w:tmpl w:val="53BE0BD8"/>
    <w:lvl w:ilvl="0" w:tplc="D6E6EA9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 w:tplc="796EEC5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 w:tplc="680E705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 w:tplc="CA98BF60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 w:tplc="426212D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 w:tplc="2B6E743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 w:tplc="BB46EBCE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 w:tplc="EE2E1748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 w:tplc="8694762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num w:numId="1" w16cid:durableId="761294579">
    <w:abstractNumId w:val="1"/>
  </w:num>
  <w:num w:numId="2" w16cid:durableId="17834585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spaceForUL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7EB"/>
    <w:rsid w:val="00301C78"/>
    <w:rsid w:val="00367EE0"/>
    <w:rsid w:val="00DC07EB"/>
    <w:rsid w:val="00FF7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DF0620"/>
  <w15:docId w15:val="{489184AE-4DAE-4EC2-A73E-C8D05A8AA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Zadanifontodlomka">
    <w:name w:val="Zadani font odlomka"/>
    <w:semiHidden/>
  </w:style>
  <w:style w:type="table" w:customStyle="1" w:styleId="Obinatablica">
    <w:name w:val="Obična tablica"/>
    <w:semiHidden/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Bezpopisa">
    <w:name w:val="Bez popisa"/>
    <w:semiHidden/>
  </w:style>
  <w:style w:type="character" w:customStyle="1" w:styleId="Naglaeno">
    <w:name w:val="Naglašeno"/>
    <w:basedOn w:val="Zadanifontodlomka"/>
    <w:rPr>
      <w:b/>
      <w:bCs/>
    </w:rPr>
  </w:style>
  <w:style w:type="paragraph" w:customStyle="1" w:styleId="StandardWeb">
    <w:name w:val="Standard (Web)"/>
    <w:basedOn w:val="Normal"/>
    <w:pPr>
      <w:spacing w:before="100" w:beforeAutospacing="1" w:after="100" w:afterAutospacing="1"/>
    </w:pPr>
  </w:style>
  <w:style w:type="paragraph" w:customStyle="1" w:styleId="Podnoje">
    <w:name w:val="Podnožje"/>
    <w:basedOn w:val="Normal"/>
    <w:pPr>
      <w:tabs>
        <w:tab w:val="center" w:pos="4536"/>
        <w:tab w:val="right" w:pos="9072"/>
      </w:tabs>
    </w:pPr>
  </w:style>
  <w:style w:type="character" w:customStyle="1" w:styleId="Brojstranice">
    <w:name w:val="Broj stranice"/>
    <w:basedOn w:val="Zadanifontodlomka"/>
  </w:style>
  <w:style w:type="paragraph" w:customStyle="1" w:styleId="Tekstbalonia">
    <w:name w:val="Tekst balončića"/>
    <w:basedOn w:val="Normal"/>
    <w:semiHidden/>
    <w:rPr>
      <w:rFonts w:ascii="Tahoma" w:hAnsi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1605</Words>
  <Characters>9152</Characters>
  <Application>Microsoft Office Word</Application>
  <DocSecurity>0</DocSecurity>
  <Lines>76</Lines>
  <Paragraphs>21</Paragraphs>
  <ScaleCrop>false</ScaleCrop>
  <Company/>
  <LinksUpToDate>false</LinksUpToDate>
  <CharactersWithSpaces>10736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Marko Duvnjak</dc:creator>
  <cp:lastModifiedBy>Marko Duvnjak</cp:lastModifiedBy>
  <cp:revision>2</cp:revision>
  <dcterms:created xsi:type="dcterms:W3CDTF">2022-05-05T08:56:00Z</dcterms:created>
  <dcterms:modified xsi:type="dcterms:W3CDTF">2022-05-05T08:56:00Z</dcterms:modified>
</cp:coreProperties>
</file>